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5D6E" w14:textId="1C53BBF2" w:rsidR="003C5723" w:rsidRDefault="003A1532" w:rsidP="00F113EF">
      <w:r>
        <w:rPr>
          <w:rFonts w:ascii="Georgia" w:hAnsi="Georgia"/>
          <w:noProof/>
        </w:rPr>
        <w:drawing>
          <wp:anchor distT="0" distB="0" distL="114300" distR="114300" simplePos="0" relativeHeight="251664384" behindDoc="0" locked="0" layoutInCell="1" allowOverlap="1" wp14:anchorId="354EBC4E" wp14:editId="54767628">
            <wp:simplePos x="0" y="0"/>
            <wp:positionH relativeFrom="margin">
              <wp:posOffset>7467600</wp:posOffset>
            </wp:positionH>
            <wp:positionV relativeFrom="page">
              <wp:posOffset>193040</wp:posOffset>
            </wp:positionV>
            <wp:extent cx="2200096" cy="870604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096" cy="87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723">
        <w:rPr>
          <w:rFonts w:ascii="Roboto Serif" w:hAnsi="Roboto Serif"/>
          <w:b/>
          <w:bCs/>
          <w:noProof/>
          <w:color w:val="4D2D7A"/>
          <w:sz w:val="70"/>
          <w:szCs w:val="70"/>
        </w:rPr>
        <w:drawing>
          <wp:anchor distT="0" distB="0" distL="114300" distR="114300" simplePos="0" relativeHeight="251660288" behindDoc="0" locked="0" layoutInCell="1" allowOverlap="1" wp14:anchorId="46A26163" wp14:editId="77D266D2">
            <wp:simplePos x="0" y="0"/>
            <wp:positionH relativeFrom="margin">
              <wp:posOffset>-154305</wp:posOffset>
            </wp:positionH>
            <wp:positionV relativeFrom="page">
              <wp:posOffset>270700</wp:posOffset>
            </wp:positionV>
            <wp:extent cx="907268" cy="1674421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68" cy="167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D0CB5" w14:textId="2E69F576" w:rsidR="003C5723" w:rsidRPr="005F1CFB" w:rsidRDefault="003C5723" w:rsidP="003C5723">
      <w:pPr>
        <w:ind w:left="1440"/>
        <w:rPr>
          <w:rFonts w:ascii="Georgia" w:hAnsi="Georgia"/>
          <w:b/>
          <w:bCs/>
          <w:color w:val="4D2D7A"/>
          <w:sz w:val="70"/>
          <w:szCs w:val="70"/>
        </w:rPr>
      </w:pPr>
      <w:r w:rsidRPr="005F1CFB">
        <w:rPr>
          <w:rFonts w:ascii="Georgia" w:hAnsi="Georgia"/>
          <w:b/>
          <w:bCs/>
          <w:color w:val="4D2D7A"/>
          <w:sz w:val="70"/>
          <w:szCs w:val="70"/>
        </w:rPr>
        <w:t>Outcomes framework</w:t>
      </w:r>
    </w:p>
    <w:p w14:paraId="7DE21087" w14:textId="26D64FED" w:rsidR="00C30153" w:rsidRPr="001D135F" w:rsidRDefault="00C30153" w:rsidP="003C5723">
      <w:pPr>
        <w:ind w:left="1440"/>
        <w:rPr>
          <w:i/>
          <w:iCs/>
        </w:rPr>
      </w:pPr>
      <w:r w:rsidRPr="001D135F">
        <w:rPr>
          <w:i/>
          <w:iCs/>
        </w:rPr>
        <w:t>Published July 2023</w:t>
      </w:r>
    </w:p>
    <w:p w14:paraId="22F56B3A" w14:textId="5F87F580" w:rsidR="003C5723" w:rsidRDefault="003A1532" w:rsidP="003C5723">
      <w:pPr>
        <w:ind w:left="1440"/>
      </w:pPr>
      <w:r>
        <w:rPr>
          <w:rFonts w:ascii="Georgia" w:hAnsi="Georgia"/>
          <w:b/>
          <w:bCs/>
          <w:noProof/>
          <w:color w:val="4D2D7A"/>
          <w:sz w:val="70"/>
          <w:szCs w:val="70"/>
        </w:rPr>
        <w:drawing>
          <wp:anchor distT="0" distB="0" distL="114300" distR="114300" simplePos="0" relativeHeight="251663360" behindDoc="0" locked="0" layoutInCell="1" allowOverlap="1" wp14:anchorId="2574C68E" wp14:editId="71C43B84">
            <wp:simplePos x="0" y="0"/>
            <wp:positionH relativeFrom="column">
              <wp:posOffset>7353300</wp:posOffset>
            </wp:positionH>
            <wp:positionV relativeFrom="page">
              <wp:posOffset>1118235</wp:posOffset>
            </wp:positionV>
            <wp:extent cx="2247900" cy="43370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723" w:rsidRPr="003C5723">
        <w:t xml:space="preserve">Disabled people and their whānau are placed in the top row to reflect the deliberate </w:t>
      </w:r>
      <w:r w:rsidR="003C5723" w:rsidRPr="003C5723">
        <w:br/>
        <w:t>and explicit shift in power by the system transformation.</w:t>
      </w:r>
    </w:p>
    <w:tbl>
      <w:tblPr>
        <w:tblStyle w:val="TableGrid"/>
        <w:tblpPr w:leftFromText="180" w:rightFromText="180" w:vertAnchor="page" w:horzAnchor="margin" w:tblpXSpec="center" w:tblpY="2675"/>
        <w:tblW w:w="15780" w:type="dxa"/>
        <w:tblCellMar>
          <w:top w:w="85" w:type="dxa"/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60"/>
        <w:gridCol w:w="1939"/>
        <w:gridCol w:w="1985"/>
        <w:gridCol w:w="2126"/>
        <w:gridCol w:w="1984"/>
        <w:gridCol w:w="1985"/>
        <w:gridCol w:w="2190"/>
        <w:gridCol w:w="2011"/>
      </w:tblGrid>
      <w:tr w:rsidR="00747A5F" w14:paraId="731CAD93" w14:textId="77777777" w:rsidTr="00747A5F">
        <w:tc>
          <w:tcPr>
            <w:tcW w:w="156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4CF9A633" w14:textId="77777777" w:rsidR="00747A5F" w:rsidRPr="00CD21F9" w:rsidRDefault="00747A5F" w:rsidP="00747A5F"/>
        </w:tc>
        <w:tc>
          <w:tcPr>
            <w:tcW w:w="193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2" w:space="0" w:color="D4D17B"/>
            </w:tcBorders>
            <w:shd w:val="clear" w:color="auto" w:fill="D4D17B"/>
            <w:vAlign w:val="center"/>
          </w:tcPr>
          <w:p w14:paraId="2069CCE5" w14:textId="77777777" w:rsidR="00747A5F" w:rsidRPr="00CD21F9" w:rsidRDefault="00747A5F" w:rsidP="00747A5F">
            <w:pPr>
              <w:rPr>
                <w:b/>
                <w:bCs/>
                <w:sz w:val="20"/>
                <w:szCs w:val="24"/>
              </w:rPr>
            </w:pPr>
            <w:r w:rsidRPr="00CD21F9">
              <w:rPr>
                <w:b/>
                <w:bCs/>
                <w:sz w:val="20"/>
                <w:szCs w:val="24"/>
              </w:rPr>
              <w:t>Rights and Protection</w:t>
            </w:r>
          </w:p>
        </w:tc>
        <w:tc>
          <w:tcPr>
            <w:tcW w:w="1985" w:type="dxa"/>
            <w:tcBorders>
              <w:top w:val="single" w:sz="36" w:space="0" w:color="FFFFFF" w:themeColor="background1"/>
              <w:left w:val="single" w:sz="2" w:space="0" w:color="D4D17B"/>
              <w:bottom w:val="single" w:sz="36" w:space="0" w:color="FFFFFF" w:themeColor="background1"/>
              <w:right w:val="single" w:sz="2" w:space="0" w:color="D4D17B"/>
            </w:tcBorders>
            <w:shd w:val="clear" w:color="auto" w:fill="D4D17B"/>
            <w:vAlign w:val="center"/>
          </w:tcPr>
          <w:p w14:paraId="15E622EB" w14:textId="77777777" w:rsidR="00747A5F" w:rsidRPr="00CD21F9" w:rsidRDefault="00747A5F" w:rsidP="00747A5F">
            <w:pPr>
              <w:jc w:val="center"/>
              <w:rPr>
                <w:b/>
                <w:bCs/>
                <w:sz w:val="20"/>
                <w:szCs w:val="24"/>
              </w:rPr>
            </w:pPr>
            <w:r w:rsidRPr="00CD21F9">
              <w:rPr>
                <w:b/>
                <w:bCs/>
                <w:sz w:val="20"/>
                <w:szCs w:val="24"/>
              </w:rPr>
              <w:t>Wellbeing</w:t>
            </w:r>
          </w:p>
        </w:tc>
        <w:tc>
          <w:tcPr>
            <w:tcW w:w="2126" w:type="dxa"/>
            <w:tcBorders>
              <w:top w:val="single" w:sz="36" w:space="0" w:color="FFFFFF" w:themeColor="background1"/>
              <w:left w:val="single" w:sz="2" w:space="0" w:color="D4D17B"/>
              <w:bottom w:val="single" w:sz="36" w:space="0" w:color="FFFFFF" w:themeColor="background1"/>
              <w:right w:val="single" w:sz="2" w:space="0" w:color="D4D17B"/>
            </w:tcBorders>
            <w:shd w:val="clear" w:color="auto" w:fill="D4D17B"/>
            <w:vAlign w:val="center"/>
          </w:tcPr>
          <w:p w14:paraId="38D64DEA" w14:textId="77777777" w:rsidR="00747A5F" w:rsidRPr="00CD21F9" w:rsidRDefault="00747A5F" w:rsidP="00747A5F">
            <w:pPr>
              <w:jc w:val="center"/>
              <w:rPr>
                <w:b/>
                <w:bCs/>
                <w:sz w:val="20"/>
                <w:szCs w:val="24"/>
              </w:rPr>
            </w:pPr>
            <w:r w:rsidRPr="00CD21F9">
              <w:rPr>
                <w:b/>
                <w:bCs/>
                <w:sz w:val="20"/>
                <w:szCs w:val="24"/>
              </w:rPr>
              <w:t>Authority</w:t>
            </w:r>
          </w:p>
        </w:tc>
        <w:tc>
          <w:tcPr>
            <w:tcW w:w="1984" w:type="dxa"/>
            <w:tcBorders>
              <w:top w:val="single" w:sz="36" w:space="0" w:color="FFFFFF" w:themeColor="background1"/>
              <w:left w:val="single" w:sz="2" w:space="0" w:color="D4D17B"/>
              <w:bottom w:val="single" w:sz="36" w:space="0" w:color="FFFFFF" w:themeColor="background1"/>
              <w:right w:val="single" w:sz="2" w:space="0" w:color="D4D17B"/>
            </w:tcBorders>
            <w:shd w:val="clear" w:color="auto" w:fill="D4D17B"/>
            <w:vAlign w:val="center"/>
          </w:tcPr>
          <w:p w14:paraId="1077DADC" w14:textId="77777777" w:rsidR="00747A5F" w:rsidRPr="00CD21F9" w:rsidRDefault="00747A5F" w:rsidP="00747A5F">
            <w:pPr>
              <w:jc w:val="center"/>
              <w:rPr>
                <w:b/>
                <w:bCs/>
                <w:sz w:val="20"/>
                <w:szCs w:val="24"/>
              </w:rPr>
            </w:pPr>
            <w:r w:rsidRPr="00CD21F9">
              <w:rPr>
                <w:b/>
                <w:bCs/>
                <w:sz w:val="20"/>
                <w:szCs w:val="24"/>
              </w:rPr>
              <w:t>Equipped</w:t>
            </w:r>
          </w:p>
        </w:tc>
        <w:tc>
          <w:tcPr>
            <w:tcW w:w="1985" w:type="dxa"/>
            <w:tcBorders>
              <w:top w:val="single" w:sz="36" w:space="0" w:color="FFFFFF" w:themeColor="background1"/>
              <w:left w:val="single" w:sz="2" w:space="0" w:color="D4D17B"/>
              <w:bottom w:val="single" w:sz="36" w:space="0" w:color="FFFFFF" w:themeColor="background1"/>
              <w:right w:val="single" w:sz="2" w:space="0" w:color="D4D17B"/>
            </w:tcBorders>
            <w:shd w:val="clear" w:color="auto" w:fill="D4D17B"/>
            <w:vAlign w:val="center"/>
          </w:tcPr>
          <w:p w14:paraId="6113DD05" w14:textId="77777777" w:rsidR="00747A5F" w:rsidRPr="00CD21F9" w:rsidRDefault="00747A5F" w:rsidP="00747A5F">
            <w:pPr>
              <w:rPr>
                <w:b/>
                <w:bCs/>
                <w:sz w:val="20"/>
                <w:szCs w:val="24"/>
              </w:rPr>
            </w:pPr>
            <w:r w:rsidRPr="00CD21F9">
              <w:rPr>
                <w:b/>
                <w:bCs/>
                <w:sz w:val="20"/>
                <w:szCs w:val="24"/>
              </w:rPr>
              <w:t>Developing and achieving</w:t>
            </w:r>
          </w:p>
        </w:tc>
        <w:tc>
          <w:tcPr>
            <w:tcW w:w="2190" w:type="dxa"/>
            <w:tcBorders>
              <w:top w:val="single" w:sz="36" w:space="0" w:color="FFFFFF" w:themeColor="background1"/>
              <w:left w:val="single" w:sz="2" w:space="0" w:color="D4D17B"/>
              <w:bottom w:val="single" w:sz="36" w:space="0" w:color="FFFFFF" w:themeColor="background1"/>
              <w:right w:val="single" w:sz="2" w:space="0" w:color="D4D17B"/>
            </w:tcBorders>
            <w:shd w:val="clear" w:color="auto" w:fill="D4D17B"/>
            <w:vAlign w:val="center"/>
          </w:tcPr>
          <w:p w14:paraId="5213045F" w14:textId="77777777" w:rsidR="00747A5F" w:rsidRPr="00CD21F9" w:rsidRDefault="00747A5F" w:rsidP="00747A5F">
            <w:pPr>
              <w:jc w:val="center"/>
              <w:rPr>
                <w:b/>
                <w:bCs/>
                <w:sz w:val="20"/>
                <w:szCs w:val="24"/>
              </w:rPr>
            </w:pPr>
            <w:r w:rsidRPr="00CD21F9">
              <w:rPr>
                <w:b/>
                <w:bCs/>
                <w:sz w:val="20"/>
                <w:szCs w:val="24"/>
              </w:rPr>
              <w:t>Connections</w:t>
            </w:r>
          </w:p>
        </w:tc>
        <w:tc>
          <w:tcPr>
            <w:tcW w:w="2011" w:type="dxa"/>
            <w:tcBorders>
              <w:top w:val="single" w:sz="36" w:space="0" w:color="FFFFFF" w:themeColor="background1"/>
              <w:left w:val="single" w:sz="2" w:space="0" w:color="D4D17B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4D17B"/>
            <w:vAlign w:val="center"/>
          </w:tcPr>
          <w:p w14:paraId="3E9B9E82" w14:textId="77777777" w:rsidR="00747A5F" w:rsidRPr="00CD21F9" w:rsidRDefault="00747A5F" w:rsidP="00747A5F">
            <w:pPr>
              <w:jc w:val="center"/>
              <w:rPr>
                <w:b/>
                <w:bCs/>
                <w:sz w:val="20"/>
                <w:szCs w:val="24"/>
              </w:rPr>
            </w:pPr>
            <w:r w:rsidRPr="00CD21F9">
              <w:rPr>
                <w:b/>
                <w:bCs/>
                <w:sz w:val="20"/>
                <w:szCs w:val="24"/>
              </w:rPr>
              <w:t>Belonging</w:t>
            </w:r>
          </w:p>
        </w:tc>
      </w:tr>
      <w:tr w:rsidR="00747A5F" w14:paraId="714666A2" w14:textId="77777777" w:rsidTr="00747A5F">
        <w:tc>
          <w:tcPr>
            <w:tcW w:w="156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2E3BE421" w14:textId="77777777" w:rsidR="00747A5F" w:rsidRPr="00CD21F9" w:rsidRDefault="00747A5F" w:rsidP="00747A5F"/>
        </w:tc>
        <w:tc>
          <w:tcPr>
            <w:tcW w:w="193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4AAB860D" w14:textId="77777777" w:rsidR="00747A5F" w:rsidRPr="00CD21F9" w:rsidRDefault="00747A5F" w:rsidP="00747A5F">
            <w:pPr>
              <w:rPr>
                <w:b/>
                <w:bCs/>
                <w:sz w:val="15"/>
                <w:szCs w:val="15"/>
              </w:rPr>
            </w:pPr>
            <w:r w:rsidRPr="00CD21F9">
              <w:rPr>
                <w:b/>
                <w:bCs/>
                <w:sz w:val="15"/>
                <w:szCs w:val="15"/>
              </w:rPr>
              <w:t>We are safe and our rights are upheld</w:t>
            </w:r>
          </w:p>
        </w:tc>
        <w:tc>
          <w:tcPr>
            <w:tcW w:w="198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3142862D" w14:textId="77777777" w:rsidR="00747A5F" w:rsidRPr="00CD21F9" w:rsidRDefault="00747A5F" w:rsidP="00747A5F">
            <w:pPr>
              <w:rPr>
                <w:b/>
                <w:bCs/>
                <w:sz w:val="15"/>
                <w:szCs w:val="15"/>
              </w:rPr>
            </w:pPr>
            <w:r w:rsidRPr="00CD21F9">
              <w:rPr>
                <w:b/>
                <w:bCs/>
                <w:sz w:val="15"/>
                <w:szCs w:val="15"/>
              </w:rPr>
              <w:t>We are happy and healthy, both emotionally and physically.</w:t>
            </w:r>
          </w:p>
        </w:tc>
        <w:tc>
          <w:tcPr>
            <w:tcW w:w="2126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602243F0" w14:textId="77777777" w:rsidR="00747A5F" w:rsidRPr="00CD21F9" w:rsidRDefault="00747A5F" w:rsidP="00747A5F">
            <w:pPr>
              <w:rPr>
                <w:b/>
                <w:bCs/>
                <w:sz w:val="15"/>
                <w:szCs w:val="15"/>
              </w:rPr>
            </w:pPr>
            <w:r w:rsidRPr="00CD21F9">
              <w:rPr>
                <w:b/>
                <w:bCs/>
                <w:sz w:val="15"/>
                <w:szCs w:val="15"/>
              </w:rPr>
              <w:t>We have choice and control over the service provision to suit our needs.</w:t>
            </w:r>
          </w:p>
        </w:tc>
        <w:tc>
          <w:tcPr>
            <w:tcW w:w="1984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1D9534FE" w14:textId="77777777" w:rsidR="00747A5F" w:rsidRPr="00CD21F9" w:rsidRDefault="00747A5F" w:rsidP="00747A5F">
            <w:pPr>
              <w:rPr>
                <w:b/>
                <w:bCs/>
                <w:sz w:val="15"/>
                <w:szCs w:val="15"/>
              </w:rPr>
            </w:pPr>
            <w:r w:rsidRPr="00CD21F9">
              <w:rPr>
                <w:b/>
                <w:bCs/>
                <w:sz w:val="15"/>
                <w:szCs w:val="15"/>
              </w:rPr>
              <w:t>We have the support and resources we need.</w:t>
            </w:r>
          </w:p>
        </w:tc>
        <w:tc>
          <w:tcPr>
            <w:tcW w:w="198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001EAFD8" w14:textId="77777777" w:rsidR="00747A5F" w:rsidRPr="00CD21F9" w:rsidRDefault="00747A5F" w:rsidP="00747A5F">
            <w:pPr>
              <w:rPr>
                <w:b/>
                <w:bCs/>
                <w:sz w:val="15"/>
                <w:szCs w:val="15"/>
              </w:rPr>
            </w:pPr>
            <w:r w:rsidRPr="00CD21F9">
              <w:rPr>
                <w:b/>
                <w:bCs/>
                <w:sz w:val="15"/>
                <w:szCs w:val="15"/>
              </w:rPr>
              <w:t>We have agency and are living our good life.</w:t>
            </w:r>
          </w:p>
        </w:tc>
        <w:tc>
          <w:tcPr>
            <w:tcW w:w="219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344CB475" w14:textId="77777777" w:rsidR="00747A5F" w:rsidRPr="00CD21F9" w:rsidRDefault="00747A5F" w:rsidP="00747A5F">
            <w:pPr>
              <w:rPr>
                <w:b/>
                <w:bCs/>
                <w:sz w:val="15"/>
                <w:szCs w:val="15"/>
              </w:rPr>
            </w:pPr>
            <w:r w:rsidRPr="00CD21F9">
              <w:rPr>
                <w:b/>
                <w:bCs/>
                <w:sz w:val="15"/>
                <w:szCs w:val="15"/>
              </w:rPr>
              <w:t>We are connected in positive ways to whānau, society and networks.</w:t>
            </w:r>
          </w:p>
        </w:tc>
        <w:tc>
          <w:tcPr>
            <w:tcW w:w="201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7DB3AED0" w14:textId="77777777" w:rsidR="00747A5F" w:rsidRPr="00CD21F9" w:rsidRDefault="00747A5F" w:rsidP="00747A5F">
            <w:pPr>
              <w:rPr>
                <w:b/>
                <w:bCs/>
                <w:sz w:val="15"/>
                <w:szCs w:val="15"/>
              </w:rPr>
            </w:pPr>
            <w:r w:rsidRPr="00CD21F9">
              <w:rPr>
                <w:b/>
                <w:bCs/>
                <w:sz w:val="15"/>
                <w:szCs w:val="15"/>
              </w:rPr>
              <w:t>We belong, contribute to and are valued by our community.</w:t>
            </w:r>
          </w:p>
        </w:tc>
      </w:tr>
      <w:tr w:rsidR="00747A5F" w14:paraId="3412B0EE" w14:textId="77777777" w:rsidTr="00747A5F">
        <w:tc>
          <w:tcPr>
            <w:tcW w:w="1560" w:type="dxa"/>
            <w:tcBorders>
              <w:top w:val="single" w:sz="36" w:space="0" w:color="FFFFFF" w:themeColor="background1"/>
              <w:left w:val="single" w:sz="2" w:space="0" w:color="D4D17B"/>
              <w:bottom w:val="single" w:sz="36" w:space="0" w:color="D4D17B"/>
              <w:right w:val="single" w:sz="36" w:space="0" w:color="FFFFFF" w:themeColor="background1"/>
            </w:tcBorders>
            <w:shd w:val="clear" w:color="auto" w:fill="D4D17B"/>
            <w:vAlign w:val="center"/>
          </w:tcPr>
          <w:p w14:paraId="34DC4578" w14:textId="77777777" w:rsidR="00747A5F" w:rsidRPr="00CD21F9" w:rsidRDefault="00747A5F" w:rsidP="00747A5F">
            <w:pPr>
              <w:jc w:val="right"/>
              <w:rPr>
                <w:b/>
                <w:bCs/>
                <w:sz w:val="20"/>
                <w:szCs w:val="24"/>
              </w:rPr>
            </w:pPr>
            <w:r w:rsidRPr="00CD21F9">
              <w:rPr>
                <w:b/>
                <w:bCs/>
                <w:sz w:val="20"/>
                <w:szCs w:val="24"/>
              </w:rPr>
              <w:t>Disabled people and whānau</w:t>
            </w:r>
          </w:p>
        </w:tc>
        <w:tc>
          <w:tcPr>
            <w:tcW w:w="193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0161E6BD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live in a safe environment.</w:t>
            </w:r>
          </w:p>
          <w:p w14:paraId="23DD817B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know how to access support if we feel unsafe.</w:t>
            </w:r>
          </w:p>
          <w:p w14:paraId="03BD1498" w14:textId="229723B3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can access places</w:t>
            </w:r>
            <w:r w:rsidR="003A1532">
              <w:rPr>
                <w:sz w:val="16"/>
                <w:szCs w:val="16"/>
              </w:rPr>
              <w:t>,</w:t>
            </w:r>
            <w:r w:rsidRPr="00907A3C">
              <w:rPr>
                <w:sz w:val="16"/>
                <w:szCs w:val="16"/>
              </w:rPr>
              <w:t xml:space="preserve"> </w:t>
            </w:r>
            <w:proofErr w:type="gramStart"/>
            <w:r w:rsidRPr="00907A3C">
              <w:rPr>
                <w:sz w:val="16"/>
                <w:szCs w:val="16"/>
              </w:rPr>
              <w:t>services</w:t>
            </w:r>
            <w:proofErr w:type="gramEnd"/>
            <w:r w:rsidRPr="00907A3C">
              <w:rPr>
                <w:sz w:val="16"/>
                <w:szCs w:val="16"/>
              </w:rPr>
              <w:t xml:space="preserve"> and information with ease.</w:t>
            </w:r>
          </w:p>
        </w:tc>
        <w:tc>
          <w:tcPr>
            <w:tcW w:w="198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07CBC016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Our health and mental wellbeing needs are met.</w:t>
            </w:r>
          </w:p>
          <w:p w14:paraId="2E94B1F2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have positive self-esteem.</w:t>
            </w:r>
          </w:p>
        </w:tc>
        <w:tc>
          <w:tcPr>
            <w:tcW w:w="2126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197B579D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have control of our funding and where we spend it.</w:t>
            </w:r>
          </w:p>
          <w:p w14:paraId="2BDCD0D4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are living a life consistent with our aspirations and goals.</w:t>
            </w:r>
          </w:p>
        </w:tc>
        <w:tc>
          <w:tcPr>
            <w:tcW w:w="1984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51442C58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have resources to enable material wellbeing.</w:t>
            </w:r>
          </w:p>
          <w:p w14:paraId="3F660D90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direct the support and services to lead Good Lives.</w:t>
            </w:r>
          </w:p>
          <w:p w14:paraId="49232A86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have knowledge, resources and skills to lead Good Lives.</w:t>
            </w:r>
          </w:p>
        </w:tc>
        <w:tc>
          <w:tcPr>
            <w:tcW w:w="198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65232F05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are building confidence and developing skills.</w:t>
            </w:r>
          </w:p>
          <w:p w14:paraId="11CFB294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are making progress towards our Good Life.</w:t>
            </w:r>
          </w:p>
        </w:tc>
        <w:tc>
          <w:tcPr>
            <w:tcW w:w="219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6802907C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have constructive whānau relationships.</w:t>
            </w:r>
          </w:p>
          <w:p w14:paraId="456DD224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Our personal relationships are acknowledged and respected.</w:t>
            </w:r>
          </w:p>
          <w:p w14:paraId="21239AE7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have affirming social networks beyond family.</w:t>
            </w:r>
          </w:p>
        </w:tc>
        <w:tc>
          <w:tcPr>
            <w:tcW w:w="201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6DFA5201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are valued contributors to society.</w:t>
            </w:r>
          </w:p>
          <w:p w14:paraId="3728D225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We are connected to culture, family and community.</w:t>
            </w:r>
          </w:p>
        </w:tc>
      </w:tr>
      <w:tr w:rsidR="00747A5F" w14:paraId="45916F93" w14:textId="77777777" w:rsidTr="00747A5F">
        <w:tc>
          <w:tcPr>
            <w:tcW w:w="1560" w:type="dxa"/>
            <w:tcBorders>
              <w:top w:val="single" w:sz="36" w:space="0" w:color="D4D17B"/>
              <w:left w:val="single" w:sz="2" w:space="0" w:color="D4D17B"/>
              <w:bottom w:val="single" w:sz="36" w:space="0" w:color="D4D17B"/>
              <w:right w:val="single" w:sz="36" w:space="0" w:color="FFFFFF" w:themeColor="background1"/>
            </w:tcBorders>
            <w:shd w:val="clear" w:color="auto" w:fill="D4D17B"/>
            <w:vAlign w:val="center"/>
          </w:tcPr>
          <w:p w14:paraId="4C1A6BFC" w14:textId="77777777" w:rsidR="00747A5F" w:rsidRPr="00CD21F9" w:rsidRDefault="00747A5F" w:rsidP="00747A5F">
            <w:pPr>
              <w:jc w:val="right"/>
              <w:rPr>
                <w:b/>
                <w:bCs/>
                <w:sz w:val="20"/>
                <w:szCs w:val="24"/>
              </w:rPr>
            </w:pPr>
            <w:r w:rsidRPr="00CD21F9">
              <w:rPr>
                <w:b/>
                <w:bCs/>
                <w:sz w:val="20"/>
                <w:szCs w:val="24"/>
              </w:rPr>
              <w:t>Services</w:t>
            </w:r>
          </w:p>
        </w:tc>
        <w:tc>
          <w:tcPr>
            <w:tcW w:w="193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2CAD6E00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Support accessed is in keeping with the EGL principles.</w:t>
            </w:r>
          </w:p>
          <w:p w14:paraId="1461CC78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Kaupapa Māori approaches are valued and available.</w:t>
            </w:r>
          </w:p>
        </w:tc>
        <w:tc>
          <w:tcPr>
            <w:tcW w:w="198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06EDE29A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Providers know how to support achieving Good Lives.</w:t>
            </w:r>
          </w:p>
          <w:p w14:paraId="6F1ADA9A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Designing systems, supports and services is done in partnership.</w:t>
            </w:r>
          </w:p>
        </w:tc>
        <w:tc>
          <w:tcPr>
            <w:tcW w:w="2126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744129AC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Funding is allocated on an individual basis.</w:t>
            </w:r>
          </w:p>
          <w:p w14:paraId="02E8A2B3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 xml:space="preserve">Capable </w:t>
            </w:r>
            <w:proofErr w:type="spellStart"/>
            <w:r w:rsidRPr="00907A3C">
              <w:rPr>
                <w:sz w:val="16"/>
                <w:szCs w:val="16"/>
              </w:rPr>
              <w:t>tūhono</w:t>
            </w:r>
            <w:proofErr w:type="spellEnd"/>
            <w:r w:rsidRPr="00907A3C">
              <w:rPr>
                <w:sz w:val="16"/>
                <w:szCs w:val="16"/>
              </w:rPr>
              <w:t xml:space="preserve"> facilitate planning for Good Lives.</w:t>
            </w:r>
          </w:p>
        </w:tc>
        <w:tc>
          <w:tcPr>
            <w:tcW w:w="1984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31B66034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Service provision matches requirements.</w:t>
            </w:r>
          </w:p>
          <w:p w14:paraId="3C95870E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Community options are used first before specialist services</w:t>
            </w:r>
          </w:p>
        </w:tc>
        <w:tc>
          <w:tcPr>
            <w:tcW w:w="198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4F6AFE99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Education, training and employment opportunities are provided.</w:t>
            </w:r>
          </w:p>
        </w:tc>
        <w:tc>
          <w:tcPr>
            <w:tcW w:w="219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56B61D9B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There are networks of support in the community.</w:t>
            </w:r>
          </w:p>
          <w:p w14:paraId="239A9DF9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Culturally suited independent allies are available.</w:t>
            </w:r>
          </w:p>
        </w:tc>
        <w:tc>
          <w:tcPr>
            <w:tcW w:w="201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7DAB2B0D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Public services are available for use by all.</w:t>
            </w:r>
          </w:p>
          <w:p w14:paraId="2A9F8A82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Communities are informed and responsive.</w:t>
            </w:r>
          </w:p>
        </w:tc>
      </w:tr>
      <w:tr w:rsidR="00747A5F" w14:paraId="7F2C9911" w14:textId="77777777" w:rsidTr="00747A5F">
        <w:tc>
          <w:tcPr>
            <w:tcW w:w="1560" w:type="dxa"/>
            <w:tcBorders>
              <w:top w:val="single" w:sz="36" w:space="0" w:color="D4D17B"/>
              <w:left w:val="single" w:sz="2" w:space="0" w:color="D4D17B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4D17B"/>
            <w:vAlign w:val="center"/>
          </w:tcPr>
          <w:p w14:paraId="777225C7" w14:textId="77777777" w:rsidR="00747A5F" w:rsidRPr="00CD21F9" w:rsidRDefault="00747A5F" w:rsidP="00747A5F">
            <w:pPr>
              <w:jc w:val="right"/>
              <w:rPr>
                <w:b/>
                <w:bCs/>
                <w:sz w:val="20"/>
                <w:szCs w:val="24"/>
              </w:rPr>
            </w:pPr>
            <w:r w:rsidRPr="00CD21F9">
              <w:rPr>
                <w:b/>
                <w:bCs/>
                <w:sz w:val="20"/>
                <w:szCs w:val="24"/>
              </w:rPr>
              <w:t>System</w:t>
            </w:r>
          </w:p>
        </w:tc>
        <w:tc>
          <w:tcPr>
            <w:tcW w:w="193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71203927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proofErr w:type="spellStart"/>
            <w:r w:rsidRPr="00907A3C">
              <w:rPr>
                <w:sz w:val="16"/>
                <w:szCs w:val="16"/>
              </w:rPr>
              <w:t>Whakahaumaru</w:t>
            </w:r>
            <w:proofErr w:type="spellEnd"/>
            <w:r w:rsidRPr="00907A3C">
              <w:rPr>
                <w:sz w:val="16"/>
                <w:szCs w:val="16"/>
              </w:rPr>
              <w:t xml:space="preserve"> safeguarding systems enable people to make choices with agency.</w:t>
            </w:r>
          </w:p>
        </w:tc>
        <w:tc>
          <w:tcPr>
            <w:tcW w:w="198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7C3D82BA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There are mechanisms for alignment of support across government agencies.</w:t>
            </w:r>
          </w:p>
        </w:tc>
        <w:tc>
          <w:tcPr>
            <w:tcW w:w="2126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5ECD199F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Authority shifts to disabled people and whānau.</w:t>
            </w:r>
          </w:p>
          <w:p w14:paraId="7D5CD2EF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Commissioning enables our authority.</w:t>
            </w:r>
          </w:p>
        </w:tc>
        <w:tc>
          <w:tcPr>
            <w:tcW w:w="1984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6D15036C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Resource provision through work across agencies.</w:t>
            </w:r>
          </w:p>
        </w:tc>
        <w:tc>
          <w:tcPr>
            <w:tcW w:w="198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5A3135F4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Policy settings across government align with Enabling Good Lives principles.</w:t>
            </w:r>
          </w:p>
        </w:tc>
        <w:tc>
          <w:tcPr>
            <w:tcW w:w="219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2CEFA4E3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Investment builds community support networks.</w:t>
            </w:r>
          </w:p>
        </w:tc>
        <w:tc>
          <w:tcPr>
            <w:tcW w:w="201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4F5E0"/>
          </w:tcPr>
          <w:p w14:paraId="00956ABE" w14:textId="77777777" w:rsidR="00747A5F" w:rsidRPr="00907A3C" w:rsidRDefault="00747A5F" w:rsidP="00747A5F">
            <w:pPr>
              <w:rPr>
                <w:sz w:val="16"/>
                <w:szCs w:val="16"/>
              </w:rPr>
            </w:pPr>
            <w:r w:rsidRPr="00907A3C">
              <w:rPr>
                <w:sz w:val="16"/>
                <w:szCs w:val="16"/>
              </w:rPr>
              <w:t>Central government enables community leadership.</w:t>
            </w:r>
          </w:p>
        </w:tc>
      </w:tr>
    </w:tbl>
    <w:p w14:paraId="2CCD98AB" w14:textId="0C7DD0B6" w:rsidR="003C5723" w:rsidRDefault="003C5723">
      <w:pPr>
        <w:spacing w:after="0" w:line="240" w:lineRule="auto"/>
      </w:pPr>
      <w:r>
        <w:br w:type="page"/>
      </w:r>
    </w:p>
    <w:p w14:paraId="0E150F77" w14:textId="51B0F8A0" w:rsidR="003C5723" w:rsidRPr="003C5723" w:rsidRDefault="00014BFE" w:rsidP="003C5723">
      <w:pPr>
        <w:ind w:left="1440"/>
        <w:rPr>
          <w:rFonts w:ascii="Roboto Serif" w:hAnsi="Roboto Serif"/>
          <w:b/>
          <w:bCs/>
          <w:color w:val="4D2D7A"/>
          <w:sz w:val="24"/>
          <w:szCs w:val="24"/>
        </w:rPr>
      </w:pPr>
      <w:r>
        <w:rPr>
          <w:rFonts w:ascii="Roboto Serif" w:hAnsi="Roboto Serif"/>
          <w:b/>
          <w:bCs/>
          <w:noProof/>
          <w:color w:val="4D2D7A"/>
          <w:sz w:val="70"/>
          <w:szCs w:val="70"/>
        </w:rPr>
        <w:lastRenderedPageBreak/>
        <w:drawing>
          <wp:anchor distT="0" distB="0" distL="114300" distR="114300" simplePos="0" relativeHeight="251662336" behindDoc="0" locked="0" layoutInCell="1" allowOverlap="1" wp14:anchorId="188D53D2" wp14:editId="751D0CAA">
            <wp:simplePos x="0" y="0"/>
            <wp:positionH relativeFrom="margin">
              <wp:posOffset>-168910</wp:posOffset>
            </wp:positionH>
            <wp:positionV relativeFrom="page">
              <wp:posOffset>298005</wp:posOffset>
            </wp:positionV>
            <wp:extent cx="907268" cy="1674421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68" cy="167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0AA99" w14:textId="117F0A0B" w:rsidR="00747A5F" w:rsidRPr="00014BFE" w:rsidRDefault="00747A5F" w:rsidP="00747A5F">
      <w:pPr>
        <w:ind w:left="1440"/>
        <w:rPr>
          <w:rFonts w:ascii="Georgia" w:hAnsi="Georgia"/>
          <w:b/>
          <w:bCs/>
          <w:color w:val="4D2D7A"/>
          <w:sz w:val="52"/>
          <w:szCs w:val="52"/>
        </w:rPr>
      </w:pPr>
      <w:r w:rsidRPr="00014BFE">
        <w:rPr>
          <w:rFonts w:ascii="Georgia" w:hAnsi="Georgia"/>
          <w:b/>
          <w:bCs/>
          <w:color w:val="4D2D7A"/>
          <w:sz w:val="52"/>
          <w:szCs w:val="52"/>
        </w:rPr>
        <w:t>Enabling Good Lives (EGL) principles</w:t>
      </w:r>
      <w:r w:rsidRPr="00014BFE">
        <w:rPr>
          <w:rFonts w:ascii="Georgia" w:hAnsi="Georgia"/>
          <w:b/>
          <w:bCs/>
          <w:color w:val="4D2D7A"/>
          <w:sz w:val="52"/>
          <w:szCs w:val="52"/>
        </w:rPr>
        <w:br/>
        <w:t>underpin the outcomes</w:t>
      </w:r>
    </w:p>
    <w:p w14:paraId="675F0392" w14:textId="240036C0" w:rsidR="003C5723" w:rsidRPr="00014BFE" w:rsidRDefault="00747A5F" w:rsidP="003C5723">
      <w:pPr>
        <w:ind w:left="1440"/>
        <w:rPr>
          <w:sz w:val="22"/>
          <w:szCs w:val="24"/>
        </w:rPr>
      </w:pPr>
      <w:r w:rsidRPr="00014BFE">
        <w:rPr>
          <w:b/>
          <w:bCs/>
          <w:sz w:val="22"/>
          <w:szCs w:val="24"/>
        </w:rPr>
        <w:t>EGL principles:</w:t>
      </w:r>
      <w:r w:rsidRPr="00014BFE">
        <w:rPr>
          <w:sz w:val="22"/>
          <w:szCs w:val="24"/>
        </w:rPr>
        <w:t xml:space="preserve"> Self-determination, beginning early, person centred, ordinary life outcomes, </w:t>
      </w:r>
      <w:r w:rsidRPr="00014BFE">
        <w:rPr>
          <w:sz w:val="22"/>
          <w:szCs w:val="24"/>
        </w:rPr>
        <w:br/>
        <w:t>mainstream first, easy to use, relationship, mana enhancing</w:t>
      </w:r>
    </w:p>
    <w:p w14:paraId="54A0AA0B" w14:textId="32A85910" w:rsidR="00747A5F" w:rsidRPr="00014BFE" w:rsidRDefault="00747A5F" w:rsidP="003C5723">
      <w:pPr>
        <w:ind w:left="1440"/>
        <w:rPr>
          <w:sz w:val="2"/>
          <w:szCs w:val="2"/>
        </w:rPr>
      </w:pPr>
    </w:p>
    <w:p w14:paraId="7F6D9852" w14:textId="03D75E38" w:rsidR="00747A5F" w:rsidRPr="00014BFE" w:rsidRDefault="00747A5F" w:rsidP="003C5723">
      <w:pPr>
        <w:ind w:left="1440"/>
        <w:rPr>
          <w:rFonts w:ascii="Georgia" w:hAnsi="Georgia"/>
          <w:b/>
          <w:bCs/>
          <w:color w:val="4D2D7A"/>
          <w:sz w:val="40"/>
          <w:szCs w:val="40"/>
        </w:rPr>
      </w:pPr>
      <w:r w:rsidRPr="00014BFE">
        <w:rPr>
          <w:rFonts w:ascii="Georgia" w:hAnsi="Georgia"/>
          <w:b/>
          <w:bCs/>
          <w:color w:val="4D2D7A"/>
          <w:sz w:val="40"/>
          <w:szCs w:val="40"/>
        </w:rPr>
        <w:t>Partnership</w:t>
      </w:r>
    </w:p>
    <w:p w14:paraId="784633C7" w14:textId="365AF383" w:rsidR="00747A5F" w:rsidRPr="00014BFE" w:rsidRDefault="00747A5F" w:rsidP="00747A5F">
      <w:pPr>
        <w:ind w:left="1440"/>
        <w:rPr>
          <w:sz w:val="22"/>
          <w:szCs w:val="24"/>
        </w:rPr>
      </w:pPr>
      <w:r w:rsidRPr="00014BFE">
        <w:rPr>
          <w:sz w:val="22"/>
          <w:szCs w:val="24"/>
        </w:rPr>
        <w:t>Working in partnership with disabled people and whānau, including a particular focus on partnership with Māori is evident when there is:</w:t>
      </w:r>
    </w:p>
    <w:p w14:paraId="5A3CC068" w14:textId="06AEB9AB" w:rsidR="00747A5F" w:rsidRPr="00014BFE" w:rsidRDefault="00747A5F" w:rsidP="00747A5F">
      <w:pPr>
        <w:pStyle w:val="ListParagraph"/>
        <w:numPr>
          <w:ilvl w:val="0"/>
          <w:numId w:val="33"/>
        </w:numPr>
        <w:rPr>
          <w:sz w:val="22"/>
          <w:szCs w:val="24"/>
        </w:rPr>
      </w:pPr>
      <w:r w:rsidRPr="00014BFE">
        <w:rPr>
          <w:sz w:val="22"/>
          <w:szCs w:val="24"/>
        </w:rPr>
        <w:t>Partnering in the governance, design, delivery and monitoring of health and disability services.</w:t>
      </w:r>
    </w:p>
    <w:p w14:paraId="0C75ADC9" w14:textId="62F48B1B" w:rsidR="00747A5F" w:rsidRPr="00014BFE" w:rsidRDefault="00747A5F" w:rsidP="00014BFE">
      <w:pPr>
        <w:pStyle w:val="ListParagraph"/>
        <w:numPr>
          <w:ilvl w:val="0"/>
          <w:numId w:val="33"/>
        </w:numPr>
        <w:rPr>
          <w:sz w:val="22"/>
          <w:szCs w:val="24"/>
        </w:rPr>
      </w:pPr>
      <w:r w:rsidRPr="00014BFE">
        <w:rPr>
          <w:sz w:val="22"/>
          <w:szCs w:val="24"/>
        </w:rPr>
        <w:t>A strong focus on shared decision making, co-design, leadership and governance.</w:t>
      </w:r>
    </w:p>
    <w:p w14:paraId="731A30B7" w14:textId="1D458F15" w:rsidR="00747A5F" w:rsidRPr="00014BFE" w:rsidRDefault="00747A5F" w:rsidP="00747A5F">
      <w:pPr>
        <w:ind w:left="1440"/>
        <w:rPr>
          <w:rFonts w:ascii="Georgia" w:hAnsi="Georgia"/>
          <w:b/>
          <w:bCs/>
          <w:color w:val="4D2D7A"/>
          <w:sz w:val="40"/>
          <w:szCs w:val="40"/>
        </w:rPr>
      </w:pPr>
      <w:r w:rsidRPr="00014BFE">
        <w:rPr>
          <w:rFonts w:ascii="Georgia" w:hAnsi="Georgia"/>
          <w:b/>
          <w:bCs/>
          <w:color w:val="4D2D7A"/>
          <w:sz w:val="40"/>
          <w:szCs w:val="40"/>
        </w:rPr>
        <w:t>Equity</w:t>
      </w:r>
    </w:p>
    <w:p w14:paraId="27C8D085" w14:textId="181A9735" w:rsidR="00747A5F" w:rsidRPr="00014BFE" w:rsidRDefault="00747A5F" w:rsidP="00747A5F">
      <w:pPr>
        <w:ind w:left="720" w:firstLine="720"/>
        <w:rPr>
          <w:sz w:val="22"/>
          <w:szCs w:val="24"/>
        </w:rPr>
      </w:pPr>
      <w:r w:rsidRPr="00014BFE">
        <w:rPr>
          <w:sz w:val="22"/>
          <w:szCs w:val="24"/>
        </w:rPr>
        <w:t>Increased wellbeing for all disabled people and whānau with equity of outcomes for Māori and Pa</w:t>
      </w:r>
      <w:r w:rsidR="003A1532">
        <w:rPr>
          <w:sz w:val="22"/>
          <w:szCs w:val="24"/>
        </w:rPr>
        <w:t xml:space="preserve">cific peoples </w:t>
      </w:r>
      <w:r w:rsidRPr="00014BFE">
        <w:rPr>
          <w:sz w:val="22"/>
          <w:szCs w:val="24"/>
        </w:rPr>
        <w:t>involves:</w:t>
      </w:r>
    </w:p>
    <w:p w14:paraId="4160B49F" w14:textId="68DFE732" w:rsidR="00747A5F" w:rsidRPr="00014BFE" w:rsidRDefault="00747A5F" w:rsidP="00747A5F">
      <w:pPr>
        <w:pStyle w:val="ListParagraph"/>
        <w:numPr>
          <w:ilvl w:val="0"/>
          <w:numId w:val="34"/>
        </w:numPr>
        <w:rPr>
          <w:sz w:val="22"/>
          <w:szCs w:val="24"/>
        </w:rPr>
      </w:pPr>
      <w:r w:rsidRPr="00014BFE">
        <w:rPr>
          <w:sz w:val="22"/>
          <w:szCs w:val="24"/>
        </w:rPr>
        <w:t xml:space="preserve">Kaupapa </w:t>
      </w:r>
      <w:r w:rsidR="00014BFE" w:rsidRPr="00014BFE">
        <w:rPr>
          <w:sz w:val="22"/>
          <w:szCs w:val="24"/>
        </w:rPr>
        <w:t xml:space="preserve">and </w:t>
      </w:r>
      <w:r w:rsidR="003A1532">
        <w:rPr>
          <w:sz w:val="22"/>
          <w:szCs w:val="24"/>
        </w:rPr>
        <w:t>Pacific</w:t>
      </w:r>
      <w:r w:rsidR="00014BFE" w:rsidRPr="00014BFE">
        <w:rPr>
          <w:sz w:val="22"/>
          <w:szCs w:val="24"/>
        </w:rPr>
        <w:t xml:space="preserve"> approaches to support.</w:t>
      </w:r>
    </w:p>
    <w:p w14:paraId="68E4AC79" w14:textId="5DBCD386" w:rsidR="00014BFE" w:rsidRPr="00014BFE" w:rsidRDefault="00014BFE" w:rsidP="00747A5F">
      <w:pPr>
        <w:pStyle w:val="ListParagraph"/>
        <w:numPr>
          <w:ilvl w:val="0"/>
          <w:numId w:val="34"/>
        </w:numPr>
        <w:rPr>
          <w:sz w:val="22"/>
          <w:szCs w:val="24"/>
        </w:rPr>
      </w:pPr>
      <w:r w:rsidRPr="00014BFE">
        <w:rPr>
          <w:sz w:val="22"/>
          <w:szCs w:val="24"/>
        </w:rPr>
        <w:t>Choice and control of decision making for all.</w:t>
      </w:r>
    </w:p>
    <w:p w14:paraId="0F56CF4F" w14:textId="5522601E" w:rsidR="00014BFE" w:rsidRPr="00014BFE" w:rsidRDefault="00014BFE" w:rsidP="00014BFE">
      <w:pPr>
        <w:pStyle w:val="ListParagraph"/>
        <w:numPr>
          <w:ilvl w:val="0"/>
          <w:numId w:val="34"/>
        </w:numPr>
        <w:rPr>
          <w:sz w:val="22"/>
          <w:szCs w:val="24"/>
        </w:rPr>
      </w:pPr>
      <w:r w:rsidRPr="00014BFE">
        <w:rPr>
          <w:sz w:val="22"/>
          <w:szCs w:val="24"/>
        </w:rPr>
        <w:t>Evolving the capability of disabled people to be leaders in their own lives and communities.</w:t>
      </w:r>
    </w:p>
    <w:p w14:paraId="3190B2A2" w14:textId="60BF412E" w:rsidR="00014BFE" w:rsidRPr="00014BFE" w:rsidRDefault="00014BFE" w:rsidP="00014BFE">
      <w:pPr>
        <w:ind w:left="1440"/>
        <w:rPr>
          <w:rFonts w:ascii="Georgia" w:hAnsi="Georgia"/>
          <w:b/>
          <w:bCs/>
          <w:color w:val="4D2D7A"/>
          <w:sz w:val="40"/>
          <w:szCs w:val="40"/>
        </w:rPr>
      </w:pPr>
      <w:r w:rsidRPr="00014BFE">
        <w:rPr>
          <w:rFonts w:ascii="Georgia" w:hAnsi="Georgia"/>
          <w:b/>
          <w:bCs/>
          <w:color w:val="4D2D7A"/>
          <w:sz w:val="40"/>
          <w:szCs w:val="40"/>
        </w:rPr>
        <w:t>Stewardship</w:t>
      </w:r>
    </w:p>
    <w:p w14:paraId="71AA6517" w14:textId="583D8915" w:rsidR="00747A5F" w:rsidRPr="00014BFE" w:rsidRDefault="00014BFE" w:rsidP="00014BFE">
      <w:pPr>
        <w:ind w:left="1440"/>
        <w:rPr>
          <w:sz w:val="22"/>
          <w:szCs w:val="24"/>
        </w:rPr>
      </w:pPr>
      <w:r w:rsidRPr="00014BFE">
        <w:rPr>
          <w:sz w:val="22"/>
          <w:szCs w:val="24"/>
        </w:rPr>
        <w:t>A sustainable, values driven sector working for disabled people and whānau includes:</w:t>
      </w:r>
    </w:p>
    <w:p w14:paraId="4BC0CC09" w14:textId="673FE9BE" w:rsidR="00014BFE" w:rsidRPr="00014BFE" w:rsidRDefault="00014BFE" w:rsidP="00014BFE">
      <w:pPr>
        <w:pStyle w:val="ListParagraph"/>
        <w:numPr>
          <w:ilvl w:val="0"/>
          <w:numId w:val="35"/>
        </w:numPr>
        <w:ind w:left="2160"/>
        <w:rPr>
          <w:sz w:val="22"/>
          <w:szCs w:val="24"/>
        </w:rPr>
      </w:pPr>
      <w:r w:rsidRPr="00014BFE">
        <w:rPr>
          <w:sz w:val="22"/>
          <w:szCs w:val="24"/>
        </w:rPr>
        <w:t>A policy agenda to better understand and adapt to changing nature of disability.</w:t>
      </w:r>
    </w:p>
    <w:p w14:paraId="4405B82C" w14:textId="3B39A272" w:rsidR="00014BFE" w:rsidRPr="00014BFE" w:rsidRDefault="00014BFE" w:rsidP="00014BFE">
      <w:pPr>
        <w:pStyle w:val="ListParagraph"/>
        <w:numPr>
          <w:ilvl w:val="0"/>
          <w:numId w:val="35"/>
        </w:numPr>
        <w:ind w:left="2160"/>
        <w:rPr>
          <w:sz w:val="22"/>
          <w:szCs w:val="24"/>
        </w:rPr>
      </w:pPr>
      <w:r w:rsidRPr="00014BFE">
        <w:rPr>
          <w:sz w:val="22"/>
          <w:szCs w:val="24"/>
        </w:rPr>
        <w:t>A system level performance model that drives system improvement and better outcomes.</w:t>
      </w:r>
    </w:p>
    <w:p w14:paraId="6BA32792" w14:textId="48D71E30" w:rsidR="00014BFE" w:rsidRPr="00014BFE" w:rsidRDefault="00014BFE" w:rsidP="00014BFE">
      <w:pPr>
        <w:ind w:left="1440"/>
        <w:rPr>
          <w:rFonts w:ascii="Georgia" w:hAnsi="Georgia"/>
          <w:b/>
          <w:bCs/>
          <w:color w:val="4D2D7A"/>
          <w:sz w:val="40"/>
          <w:szCs w:val="40"/>
        </w:rPr>
      </w:pPr>
      <w:r>
        <w:rPr>
          <w:rFonts w:ascii="Georgia" w:hAnsi="Georgia"/>
          <w:b/>
          <w:bCs/>
          <w:color w:val="4D2D7A"/>
          <w:sz w:val="40"/>
          <w:szCs w:val="40"/>
        </w:rPr>
        <w:t>Value for money</w:t>
      </w:r>
    </w:p>
    <w:p w14:paraId="6D31EDD1" w14:textId="27D9BCE2" w:rsidR="00014BFE" w:rsidRPr="00014BFE" w:rsidRDefault="00014BFE" w:rsidP="00014BFE">
      <w:pPr>
        <w:ind w:left="1440"/>
        <w:rPr>
          <w:sz w:val="22"/>
          <w:szCs w:val="24"/>
        </w:rPr>
      </w:pPr>
      <w:r>
        <w:rPr>
          <w:sz w:val="22"/>
          <w:szCs w:val="24"/>
        </w:rPr>
        <w:t>Disability services are adequately funded to effect system transformation and improved outcomes for disabled people and whānau. This means</w:t>
      </w:r>
    </w:p>
    <w:p w14:paraId="5B872BAB" w14:textId="7B28B50F" w:rsidR="00014BFE" w:rsidRPr="00014BFE" w:rsidRDefault="00014BFE" w:rsidP="00014BFE">
      <w:pPr>
        <w:pStyle w:val="ListParagraph"/>
        <w:numPr>
          <w:ilvl w:val="0"/>
          <w:numId w:val="35"/>
        </w:numPr>
        <w:ind w:left="2160"/>
        <w:rPr>
          <w:sz w:val="22"/>
          <w:szCs w:val="24"/>
        </w:rPr>
      </w:pPr>
      <w:r>
        <w:rPr>
          <w:sz w:val="22"/>
          <w:szCs w:val="24"/>
        </w:rPr>
        <w:t>Strategic investment for support funding that drives value and better outcomes.</w:t>
      </w:r>
    </w:p>
    <w:sectPr w:rsidR="00014BFE" w:rsidRPr="00014BFE" w:rsidSect="003C5723">
      <w:pgSz w:w="16838" w:h="11906" w:orient="landscape"/>
      <w:pgMar w:top="142" w:right="720" w:bottom="142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F5ED" w14:textId="77777777" w:rsidR="00907A3C" w:rsidRDefault="00907A3C" w:rsidP="00907A3C">
      <w:pPr>
        <w:spacing w:after="0" w:line="240" w:lineRule="auto"/>
      </w:pPr>
      <w:r>
        <w:separator/>
      </w:r>
    </w:p>
  </w:endnote>
  <w:endnote w:type="continuationSeparator" w:id="0">
    <w:p w14:paraId="228CB0ED" w14:textId="77777777" w:rsidR="00907A3C" w:rsidRDefault="00907A3C" w:rsidP="0090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Serif">
    <w:panose1 w:val="00000000000000000000"/>
    <w:charset w:val="00"/>
    <w:family w:val="auto"/>
    <w:pitch w:val="variable"/>
    <w:sig w:usb0="A10000FF" w:usb1="500066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7BA3" w14:textId="77777777" w:rsidR="00907A3C" w:rsidRDefault="00907A3C" w:rsidP="00907A3C">
      <w:pPr>
        <w:spacing w:after="0" w:line="240" w:lineRule="auto"/>
      </w:pPr>
      <w:r>
        <w:separator/>
      </w:r>
    </w:p>
  </w:footnote>
  <w:footnote w:type="continuationSeparator" w:id="0">
    <w:p w14:paraId="2A2AD4AE" w14:textId="77777777" w:rsidR="00907A3C" w:rsidRDefault="00907A3C" w:rsidP="00907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FD6F56"/>
    <w:multiLevelType w:val="hybridMultilevel"/>
    <w:tmpl w:val="2D1C17E8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E5F108B"/>
    <w:multiLevelType w:val="hybridMultilevel"/>
    <w:tmpl w:val="8CE260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4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AD1FB9"/>
    <w:multiLevelType w:val="hybridMultilevel"/>
    <w:tmpl w:val="41C0BFE2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39751945">
    <w:abstractNumId w:val="16"/>
  </w:num>
  <w:num w:numId="2" w16cid:durableId="18932741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000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3805685">
    <w:abstractNumId w:val="14"/>
  </w:num>
  <w:num w:numId="5" w16cid:durableId="576281392">
    <w:abstractNumId w:val="9"/>
  </w:num>
  <w:num w:numId="6" w16cid:durableId="70196115">
    <w:abstractNumId w:val="7"/>
  </w:num>
  <w:num w:numId="7" w16cid:durableId="491411608">
    <w:abstractNumId w:val="24"/>
  </w:num>
  <w:num w:numId="8" w16cid:durableId="163921659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4633574">
    <w:abstractNumId w:val="9"/>
  </w:num>
  <w:num w:numId="10" w16cid:durableId="1629240231">
    <w:abstractNumId w:val="12"/>
  </w:num>
  <w:num w:numId="11" w16cid:durableId="1420905623">
    <w:abstractNumId w:val="12"/>
  </w:num>
  <w:num w:numId="12" w16cid:durableId="1397707644">
    <w:abstractNumId w:val="9"/>
  </w:num>
  <w:num w:numId="13" w16cid:durableId="739983880">
    <w:abstractNumId w:val="10"/>
  </w:num>
  <w:num w:numId="14" w16cid:durableId="245307743">
    <w:abstractNumId w:val="19"/>
  </w:num>
  <w:num w:numId="15" w16cid:durableId="1701852830">
    <w:abstractNumId w:val="13"/>
  </w:num>
  <w:num w:numId="16" w16cid:durableId="532114669">
    <w:abstractNumId w:val="6"/>
  </w:num>
  <w:num w:numId="17" w16cid:durableId="201942365">
    <w:abstractNumId w:val="5"/>
  </w:num>
  <w:num w:numId="18" w16cid:durableId="726493544">
    <w:abstractNumId w:val="4"/>
  </w:num>
  <w:num w:numId="19" w16cid:durableId="1774327250">
    <w:abstractNumId w:val="8"/>
  </w:num>
  <w:num w:numId="20" w16cid:durableId="95448051">
    <w:abstractNumId w:val="3"/>
  </w:num>
  <w:num w:numId="21" w16cid:durableId="1397783759">
    <w:abstractNumId w:val="2"/>
  </w:num>
  <w:num w:numId="22" w16cid:durableId="2097549355">
    <w:abstractNumId w:val="1"/>
  </w:num>
  <w:num w:numId="23" w16cid:durableId="1536305629">
    <w:abstractNumId w:val="0"/>
  </w:num>
  <w:num w:numId="24" w16cid:durableId="615986204">
    <w:abstractNumId w:val="15"/>
  </w:num>
  <w:num w:numId="25" w16cid:durableId="1912738635">
    <w:abstractNumId w:val="26"/>
  </w:num>
  <w:num w:numId="26" w16cid:durableId="153377460">
    <w:abstractNumId w:val="28"/>
  </w:num>
  <w:num w:numId="27" w16cid:durableId="1206943702">
    <w:abstractNumId w:val="25"/>
  </w:num>
  <w:num w:numId="28" w16cid:durableId="249775008">
    <w:abstractNumId w:val="17"/>
  </w:num>
  <w:num w:numId="29" w16cid:durableId="818108474">
    <w:abstractNumId w:val="11"/>
  </w:num>
  <w:num w:numId="30" w16cid:durableId="1221399630">
    <w:abstractNumId w:val="18"/>
  </w:num>
  <w:num w:numId="31" w16cid:durableId="1314023328">
    <w:abstractNumId w:val="29"/>
  </w:num>
  <w:num w:numId="32" w16cid:durableId="1176110794">
    <w:abstractNumId w:val="22"/>
  </w:num>
  <w:num w:numId="33" w16cid:durableId="1754861511">
    <w:abstractNumId w:val="27"/>
  </w:num>
  <w:num w:numId="34" w16cid:durableId="580142419">
    <w:abstractNumId w:val="20"/>
  </w:num>
  <w:num w:numId="35" w16cid:durableId="1241561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72"/>
    <w:rsid w:val="00000B4C"/>
    <w:rsid w:val="00005BBE"/>
    <w:rsid w:val="000106D0"/>
    <w:rsid w:val="00014BFE"/>
    <w:rsid w:val="00034336"/>
    <w:rsid w:val="00037CB0"/>
    <w:rsid w:val="00084FC0"/>
    <w:rsid w:val="000A576B"/>
    <w:rsid w:val="000E3BB9"/>
    <w:rsid w:val="00106AED"/>
    <w:rsid w:val="001D135F"/>
    <w:rsid w:val="001D3744"/>
    <w:rsid w:val="001F2AEB"/>
    <w:rsid w:val="00213DA6"/>
    <w:rsid w:val="00216302"/>
    <w:rsid w:val="00236D2D"/>
    <w:rsid w:val="00245A2B"/>
    <w:rsid w:val="002D1C62"/>
    <w:rsid w:val="002D367B"/>
    <w:rsid w:val="00354EC2"/>
    <w:rsid w:val="00397220"/>
    <w:rsid w:val="003A1532"/>
    <w:rsid w:val="003B0A38"/>
    <w:rsid w:val="003C5723"/>
    <w:rsid w:val="003E2869"/>
    <w:rsid w:val="003E3722"/>
    <w:rsid w:val="004227ED"/>
    <w:rsid w:val="00445BCE"/>
    <w:rsid w:val="00454F25"/>
    <w:rsid w:val="004710B8"/>
    <w:rsid w:val="004C7372"/>
    <w:rsid w:val="00533E65"/>
    <w:rsid w:val="0056681E"/>
    <w:rsid w:val="00572AA9"/>
    <w:rsid w:val="00595906"/>
    <w:rsid w:val="005B11F9"/>
    <w:rsid w:val="005F1CFB"/>
    <w:rsid w:val="00631D73"/>
    <w:rsid w:val="006B19BD"/>
    <w:rsid w:val="00722B57"/>
    <w:rsid w:val="00734494"/>
    <w:rsid w:val="00747A5F"/>
    <w:rsid w:val="007B201A"/>
    <w:rsid w:val="007C2143"/>
    <w:rsid w:val="007F3ACD"/>
    <w:rsid w:val="0080133F"/>
    <w:rsid w:val="0080498F"/>
    <w:rsid w:val="00860654"/>
    <w:rsid w:val="00903467"/>
    <w:rsid w:val="00906EAA"/>
    <w:rsid w:val="00907A3C"/>
    <w:rsid w:val="00970DD2"/>
    <w:rsid w:val="00977351"/>
    <w:rsid w:val="009D15F1"/>
    <w:rsid w:val="009D2B10"/>
    <w:rsid w:val="00A2199C"/>
    <w:rsid w:val="00A43896"/>
    <w:rsid w:val="00A6244E"/>
    <w:rsid w:val="00B41635"/>
    <w:rsid w:val="00B5357A"/>
    <w:rsid w:val="00C30153"/>
    <w:rsid w:val="00C503A7"/>
    <w:rsid w:val="00C5215F"/>
    <w:rsid w:val="00CB4A28"/>
    <w:rsid w:val="00CD21F9"/>
    <w:rsid w:val="00D34EA0"/>
    <w:rsid w:val="00DD6907"/>
    <w:rsid w:val="00DD7526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9E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TableParagraph">
    <w:name w:val="Table Paragraph"/>
    <w:basedOn w:val="Normal"/>
    <w:uiPriority w:val="1"/>
    <w:qFormat/>
    <w:rsid w:val="00734494"/>
    <w:pPr>
      <w:widowControl w:val="0"/>
      <w:autoSpaceDE w:val="0"/>
      <w:autoSpaceDN w:val="0"/>
      <w:spacing w:after="0" w:line="240" w:lineRule="auto"/>
    </w:pPr>
    <w:rPr>
      <w:rFonts w:eastAsia="Verdana" w:cs="Verdana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3C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3428</Characters>
  <Application>Microsoft Office Word</Application>
  <DocSecurity>2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2023-07-11T03:41:00Z</dcterms:created>
  <dcterms:modified xsi:type="dcterms:W3CDTF">2023-07-11T03:42:00Z</dcterms:modified>
</cp:coreProperties>
</file>